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7669" w14:textId="6B42AE98" w:rsidR="007332CB" w:rsidRPr="003B14A9" w:rsidRDefault="007332CB" w:rsidP="003B14A9">
      <w:pPr>
        <w:pStyle w:val="Heading1"/>
      </w:pPr>
      <w:r w:rsidRPr="003B14A9">
        <w:t xml:space="preserve">SUBSTANCE USE </w:t>
      </w:r>
      <w:r w:rsidR="009956B8" w:rsidRPr="003B14A9">
        <w:t>(YOUTH)</w:t>
      </w:r>
    </w:p>
    <w:p w14:paraId="0A8993D8" w14:textId="2263942E" w:rsidR="007F473A" w:rsidRPr="003B14A9" w:rsidRDefault="007F473A" w:rsidP="003B14A9">
      <w:pPr>
        <w:pStyle w:val="Heading2"/>
      </w:pPr>
      <w:r w:rsidRPr="003B14A9">
        <w:t>AN EVIDENCE-BASED CURRIULUM</w:t>
      </w:r>
    </w:p>
    <w:p w14:paraId="48E03C76" w14:textId="09946378" w:rsidR="00AD7961" w:rsidRDefault="00035DF9" w:rsidP="00F702F5">
      <w:pPr>
        <w:spacing w:after="100"/>
        <w:ind w:left="270" w:right="547"/>
        <w:jc w:val="both"/>
        <w:rPr>
          <w:rFonts w:ascii="Open Sans" w:hAnsi="Open Sans" w:cs="Open Sans"/>
          <w:sz w:val="21"/>
          <w:szCs w:val="21"/>
        </w:rPr>
      </w:pPr>
      <w:r>
        <w:rPr>
          <w:rFonts w:ascii="Open Sans" w:hAnsi="Open Sans" w:cs="Open Sans"/>
          <w:sz w:val="21"/>
          <w:szCs w:val="21"/>
        </w:rPr>
        <w:t xml:space="preserve">UCCI’s </w:t>
      </w:r>
      <w:r w:rsidR="00E0447D" w:rsidRPr="007F473A">
        <w:rPr>
          <w:rFonts w:ascii="Open Sans" w:hAnsi="Open Sans" w:cs="Open Sans"/>
          <w:sz w:val="21"/>
          <w:szCs w:val="21"/>
        </w:rPr>
        <w:t xml:space="preserve">Cognitive-Behavioral Interventions </w:t>
      </w:r>
      <w:r>
        <w:rPr>
          <w:rFonts w:ascii="Open Sans" w:hAnsi="Open Sans" w:cs="Open Sans"/>
          <w:sz w:val="21"/>
          <w:szCs w:val="21"/>
        </w:rPr>
        <w:t>–</w:t>
      </w:r>
      <w:r w:rsidR="00E0447D" w:rsidRPr="007F473A">
        <w:rPr>
          <w:rFonts w:ascii="Open Sans" w:hAnsi="Open Sans" w:cs="Open Sans"/>
          <w:sz w:val="21"/>
          <w:szCs w:val="21"/>
        </w:rPr>
        <w:t xml:space="preserve"> Substance </w:t>
      </w:r>
      <w:r w:rsidR="000A7696" w:rsidRPr="007F473A">
        <w:rPr>
          <w:rFonts w:ascii="Open Sans" w:hAnsi="Open Sans" w:cs="Open Sans"/>
          <w:sz w:val="21"/>
          <w:szCs w:val="21"/>
        </w:rPr>
        <w:t>U</w:t>
      </w:r>
      <w:r w:rsidR="00E0447D" w:rsidRPr="007F473A">
        <w:rPr>
          <w:rFonts w:ascii="Open Sans" w:hAnsi="Open Sans" w:cs="Open Sans"/>
          <w:sz w:val="21"/>
          <w:szCs w:val="21"/>
        </w:rPr>
        <w:t>se</w:t>
      </w:r>
      <w:r w:rsidR="007332CB">
        <w:rPr>
          <w:rFonts w:ascii="Open Sans" w:hAnsi="Open Sans" w:cs="Open Sans"/>
          <w:sz w:val="21"/>
          <w:szCs w:val="21"/>
        </w:rPr>
        <w:t xml:space="preserve"> </w:t>
      </w:r>
      <w:r w:rsidR="00E0447D" w:rsidRPr="007F473A">
        <w:rPr>
          <w:rFonts w:ascii="Open Sans" w:hAnsi="Open Sans" w:cs="Open Sans"/>
          <w:sz w:val="21"/>
          <w:szCs w:val="21"/>
        </w:rPr>
        <w:t>(CBI-S</w:t>
      </w:r>
      <w:r w:rsidR="000A7696" w:rsidRPr="007F473A">
        <w:rPr>
          <w:rFonts w:ascii="Open Sans" w:hAnsi="Open Sans" w:cs="Open Sans"/>
          <w:sz w:val="21"/>
          <w:szCs w:val="21"/>
        </w:rPr>
        <w:t>U</w:t>
      </w:r>
      <w:r w:rsidR="00E0447D" w:rsidRPr="007F473A">
        <w:rPr>
          <w:rFonts w:ascii="Open Sans" w:hAnsi="Open Sans" w:cs="Open Sans"/>
          <w:sz w:val="21"/>
          <w:szCs w:val="21"/>
        </w:rPr>
        <w:t>)</w:t>
      </w:r>
      <w:r w:rsidR="00E16704">
        <w:rPr>
          <w:rFonts w:ascii="Open Sans" w:hAnsi="Open Sans" w:cs="Open Sans"/>
          <w:sz w:val="21"/>
          <w:szCs w:val="21"/>
        </w:rPr>
        <w:t xml:space="preserve"> </w:t>
      </w:r>
      <w:r w:rsidR="005B3396">
        <w:rPr>
          <w:rFonts w:ascii="Open Sans" w:hAnsi="Open Sans" w:cs="Open Sans"/>
          <w:sz w:val="21"/>
          <w:szCs w:val="21"/>
        </w:rPr>
        <w:t>curriculum</w:t>
      </w:r>
      <w:r w:rsidR="009956B8">
        <w:rPr>
          <w:rFonts w:ascii="Open Sans" w:hAnsi="Open Sans" w:cs="Open Sans"/>
          <w:sz w:val="21"/>
          <w:szCs w:val="21"/>
        </w:rPr>
        <w:t xml:space="preserve"> for youth</w:t>
      </w:r>
      <w:r w:rsidR="00E0447D" w:rsidRPr="007F473A">
        <w:rPr>
          <w:rFonts w:ascii="Open Sans" w:hAnsi="Open Sans" w:cs="Open Sans"/>
          <w:sz w:val="21"/>
          <w:szCs w:val="21"/>
        </w:rPr>
        <w:t xml:space="preserve"> </w:t>
      </w:r>
      <w:r w:rsidR="005021A1" w:rsidRPr="007F473A">
        <w:rPr>
          <w:rFonts w:ascii="Open Sans" w:hAnsi="Open Sans" w:cs="Open Sans"/>
          <w:sz w:val="21"/>
          <w:szCs w:val="21"/>
        </w:rPr>
        <w:t>provides intervention</w:t>
      </w:r>
      <w:r w:rsidR="00E0447D" w:rsidRPr="007F473A">
        <w:rPr>
          <w:rFonts w:ascii="Open Sans" w:hAnsi="Open Sans" w:cs="Open Sans"/>
          <w:sz w:val="21"/>
          <w:szCs w:val="21"/>
        </w:rPr>
        <w:t xml:space="preserve"> for individuals that are moderate to high need in the area of substance use</w:t>
      </w:r>
      <w:r w:rsidR="005021A1" w:rsidRPr="007F473A">
        <w:rPr>
          <w:rFonts w:ascii="Open Sans" w:hAnsi="Open Sans" w:cs="Open Sans"/>
          <w:sz w:val="21"/>
          <w:szCs w:val="21"/>
        </w:rPr>
        <w:t xml:space="preserve">. </w:t>
      </w:r>
      <w:r w:rsidR="00E0447D" w:rsidRPr="007F473A">
        <w:rPr>
          <w:rFonts w:ascii="Open Sans" w:hAnsi="Open Sans" w:cs="Open Sans"/>
          <w:sz w:val="21"/>
          <w:szCs w:val="21"/>
        </w:rPr>
        <w:t xml:space="preserve">As the name of the curriculum suggests, this intervention relies on a cognitive behavioral approach to teach participants strategies for avoiding substance abuse. The program places heavy emphasis on skill building activities to assist with cognitive, social, emotional, and coping skill development. </w:t>
      </w:r>
      <w:r w:rsidR="002A14BB" w:rsidRPr="007F473A">
        <w:rPr>
          <w:rFonts w:ascii="Open Sans" w:hAnsi="Open Sans" w:cs="Open Sans"/>
          <w:sz w:val="21"/>
          <w:szCs w:val="21"/>
        </w:rPr>
        <w:t>The following information serves to support the CBI-S</w:t>
      </w:r>
      <w:r w:rsidR="000A7696" w:rsidRPr="007F473A">
        <w:rPr>
          <w:rFonts w:ascii="Open Sans" w:hAnsi="Open Sans" w:cs="Open Sans"/>
          <w:sz w:val="21"/>
          <w:szCs w:val="21"/>
        </w:rPr>
        <w:t>U</w:t>
      </w:r>
      <w:r w:rsidR="009956B8">
        <w:rPr>
          <w:rFonts w:ascii="Open Sans" w:hAnsi="Open Sans" w:cs="Open Sans"/>
          <w:sz w:val="21"/>
          <w:szCs w:val="21"/>
        </w:rPr>
        <w:t xml:space="preserve"> for youth</w:t>
      </w:r>
      <w:r w:rsidR="002A14BB" w:rsidRPr="007F473A">
        <w:rPr>
          <w:rFonts w:ascii="Open Sans" w:hAnsi="Open Sans" w:cs="Open Sans"/>
          <w:sz w:val="21"/>
          <w:szCs w:val="21"/>
        </w:rPr>
        <w:t xml:space="preserve"> as an evidence-based program capable of favorably changing offending behavior.</w:t>
      </w:r>
    </w:p>
    <w:p w14:paraId="2972C03C" w14:textId="77777777" w:rsidR="007332CB" w:rsidRPr="007332CB" w:rsidRDefault="007332CB" w:rsidP="00F702F5">
      <w:pPr>
        <w:spacing w:after="100"/>
        <w:ind w:left="270" w:right="547"/>
        <w:jc w:val="both"/>
        <w:rPr>
          <w:rFonts w:ascii="Open Sans" w:hAnsi="Open Sans" w:cs="Open Sans"/>
          <w:sz w:val="21"/>
          <w:szCs w:val="21"/>
        </w:rPr>
      </w:pPr>
    </w:p>
    <w:p w14:paraId="0E08C3FF" w14:textId="5998757E" w:rsidR="005021A1" w:rsidRPr="007F473A" w:rsidRDefault="007F473A" w:rsidP="00F702F5">
      <w:pPr>
        <w:spacing w:after="200"/>
        <w:ind w:left="270" w:right="547"/>
        <w:jc w:val="both"/>
        <w:rPr>
          <w:rFonts w:ascii="Open Sans" w:hAnsi="Open Sans" w:cs="Open Sans"/>
          <w:b/>
          <w:sz w:val="28"/>
          <w:szCs w:val="28"/>
        </w:rPr>
      </w:pPr>
      <w:r w:rsidRPr="003B14A9">
        <w:rPr>
          <w:rStyle w:val="Heading3Char"/>
        </w:rPr>
        <w:t>FOLLOWS RNR MODEL OF EFFECTIVE PRACTICES:</w:t>
      </w:r>
      <w:r w:rsidRPr="007F473A">
        <w:rPr>
          <w:rFonts w:ascii="Open Sans" w:hAnsi="Open Sans" w:cs="Open Sans"/>
          <w:b/>
          <w:sz w:val="28"/>
          <w:szCs w:val="28"/>
        </w:rPr>
        <w:t xml:space="preserve"> </w:t>
      </w:r>
      <w:r w:rsidR="005021A1" w:rsidRPr="007F473A">
        <w:rPr>
          <w:rFonts w:ascii="Open Sans" w:hAnsi="Open Sans" w:cs="Open Sans"/>
          <w:sz w:val="28"/>
          <w:szCs w:val="28"/>
          <w:vertAlign w:val="superscript"/>
        </w:rPr>
        <w:endnoteReference w:id="1"/>
      </w:r>
    </w:p>
    <w:p w14:paraId="069FB624"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Designed for moderate to high-risk individuals as determined by a validated tool for measuring likelihood for recidivism (risk principle).</w:t>
      </w:r>
      <w:r w:rsidRPr="007F473A">
        <w:rPr>
          <w:rFonts w:ascii="Open Sans" w:hAnsi="Open Sans" w:cs="Open Sans"/>
          <w:sz w:val="21"/>
          <w:szCs w:val="21"/>
          <w:vertAlign w:val="superscript"/>
        </w:rPr>
        <w:endnoteReference w:id="2"/>
      </w:r>
    </w:p>
    <w:p w14:paraId="381B2F36" w14:textId="4066F9FD"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Not recommended for low-risk individuals to be included in groups.  If the material is delivered to low-risk individuals, it is recommended that dosage be: (risk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3"/>
      </w:r>
    </w:p>
    <w:p w14:paraId="05EF0F6F" w14:textId="77777777" w:rsidR="005021A1" w:rsidRPr="007F473A" w:rsidRDefault="005021A1" w:rsidP="00AD7961">
      <w:pPr>
        <w:pStyle w:val="ListParagraph"/>
        <w:numPr>
          <w:ilvl w:val="0"/>
          <w:numId w:val="4"/>
        </w:numPr>
        <w:tabs>
          <w:tab w:val="left" w:pos="1440"/>
        </w:tabs>
        <w:spacing w:after="100"/>
        <w:ind w:right="547"/>
        <w:jc w:val="both"/>
        <w:rPr>
          <w:rFonts w:ascii="Open Sans" w:hAnsi="Open Sans" w:cs="Open Sans"/>
          <w:sz w:val="21"/>
          <w:szCs w:val="21"/>
        </w:rPr>
      </w:pPr>
      <w:r w:rsidRPr="007F473A">
        <w:rPr>
          <w:rFonts w:ascii="Open Sans" w:hAnsi="Open Sans" w:cs="Open Sans"/>
          <w:sz w:val="21"/>
          <w:szCs w:val="21"/>
        </w:rPr>
        <w:t>Decreased</w:t>
      </w:r>
    </w:p>
    <w:p w14:paraId="3F2FBD43" w14:textId="51578709" w:rsidR="005021A1" w:rsidRPr="007F473A" w:rsidRDefault="005021A1" w:rsidP="00AD7961">
      <w:pPr>
        <w:pStyle w:val="ListParagraph"/>
        <w:numPr>
          <w:ilvl w:val="0"/>
          <w:numId w:val="4"/>
        </w:numPr>
        <w:spacing w:after="100"/>
        <w:ind w:right="547"/>
        <w:jc w:val="both"/>
        <w:rPr>
          <w:rFonts w:ascii="Open Sans" w:hAnsi="Open Sans" w:cs="Open Sans"/>
          <w:sz w:val="21"/>
          <w:szCs w:val="21"/>
        </w:rPr>
      </w:pPr>
      <w:r w:rsidRPr="007F473A">
        <w:rPr>
          <w:rFonts w:ascii="Open Sans" w:hAnsi="Open Sans" w:cs="Open Sans"/>
          <w:sz w:val="21"/>
          <w:szCs w:val="21"/>
        </w:rPr>
        <w:t>Target specific domains indicated by a dynamic criminogenic need assessment</w:t>
      </w:r>
    </w:p>
    <w:p w14:paraId="257C8610"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Flexible dosage to match individual risk level of program participants (risk principle)</w:t>
      </w:r>
    </w:p>
    <w:p w14:paraId="352FDBAB" w14:textId="499139F3"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multiple criminogenic needs including but not limited to: (need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4"/>
      </w:r>
    </w:p>
    <w:p w14:paraId="080B106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Antisocial cognitions</w:t>
      </w:r>
    </w:p>
    <w:p w14:paraId="2B802A3D"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peer associations</w:t>
      </w:r>
    </w:p>
    <w:p w14:paraId="6EE1273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personality traits (anger, aggression, poor problem solving, impulsivity etc.)</w:t>
      </w:r>
    </w:p>
    <w:p w14:paraId="4EA99C7A"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Substance use</w:t>
      </w:r>
    </w:p>
    <w:p w14:paraId="5BE4E323"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Leisure activities</w:t>
      </w:r>
    </w:p>
    <w:p w14:paraId="76EAA85A"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 xml:space="preserve">Uses cognitive-behavioral interventions as demonstrated by: (general responsivity principle) </w:t>
      </w:r>
      <w:r w:rsidRPr="007F473A">
        <w:rPr>
          <w:rFonts w:ascii="Open Sans" w:hAnsi="Open Sans" w:cs="Open Sans"/>
          <w:sz w:val="21"/>
          <w:szCs w:val="21"/>
          <w:vertAlign w:val="superscript"/>
        </w:rPr>
        <w:endnoteReference w:id="5"/>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6"/>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7"/>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8"/>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9"/>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0"/>
      </w:r>
    </w:p>
    <w:p w14:paraId="23498174" w14:textId="4BE2370E"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Emphasizes the thought-behavior link, thought awareness, thought analysis and risky thought restructuring</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1"/>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2"/>
      </w:r>
    </w:p>
    <w:p w14:paraId="55F80340" w14:textId="77777777"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Problem solving</w:t>
      </w:r>
    </w:p>
    <w:p w14:paraId="26A18C5D" w14:textId="463DCCAF"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Structured skill acquisition, development and advanced application</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3"/>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4"/>
      </w:r>
    </w:p>
    <w:p w14:paraId="1E9284A8" w14:textId="0AE675B1"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Emotion regulation:  anger, impulsivity, aggression, anxiety, self-centeredness, poor coping, high taste for risk</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5"/>
      </w:r>
    </w:p>
    <w:p w14:paraId="04AF13AE" w14:textId="0889008A" w:rsidR="00D45B38" w:rsidRPr="007F473A" w:rsidRDefault="00D45B38"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Utilizes social learning to promote skills acquisition and mastery through teaching, modeling, role-playing (practice and application), feedback, and graduated practice</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6"/>
      </w:r>
      <w:r w:rsidRPr="007F473A">
        <w:rPr>
          <w:rFonts w:ascii="Open Sans" w:hAnsi="Open Sans" w:cs="Open Sans"/>
          <w:sz w:val="21"/>
          <w:szCs w:val="21"/>
        </w:rPr>
        <w:t xml:space="preserve">  </w:t>
      </w:r>
      <w:r w:rsidRPr="007F473A">
        <w:rPr>
          <w:rStyle w:val="EndnoteReference"/>
          <w:rFonts w:ascii="Open Sans" w:hAnsi="Open Sans" w:cs="Open Sans"/>
          <w:sz w:val="21"/>
          <w:szCs w:val="21"/>
        </w:rPr>
        <w:endnoteReference w:id="17"/>
      </w:r>
    </w:p>
    <w:p w14:paraId="2518EE21" w14:textId="766E8248" w:rsidR="00AD7961" w:rsidRPr="00AD7961" w:rsidRDefault="00D45B38"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specific responsivity by providing optional motivational enhancement sessions</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8"/>
      </w:r>
    </w:p>
    <w:p w14:paraId="12ED50CF" w14:textId="77777777" w:rsidR="00AD7961" w:rsidRDefault="00AD7961" w:rsidP="00AD7961">
      <w:pPr>
        <w:spacing w:after="100"/>
        <w:ind w:left="180" w:right="547"/>
        <w:jc w:val="both"/>
        <w:rPr>
          <w:rFonts w:ascii="Century Gothic" w:hAnsi="Century Gothic" w:cs="Open Sans"/>
          <w:bCs/>
          <w:sz w:val="28"/>
          <w:szCs w:val="28"/>
        </w:rPr>
      </w:pPr>
    </w:p>
    <w:p w14:paraId="36419BD6" w14:textId="6368ED5A" w:rsidR="005021A1" w:rsidRPr="007F473A" w:rsidRDefault="007F473A" w:rsidP="00F702F5">
      <w:pPr>
        <w:spacing w:after="200"/>
        <w:ind w:left="270" w:right="547"/>
        <w:jc w:val="both"/>
        <w:rPr>
          <w:rFonts w:ascii="Open Sans" w:hAnsi="Open Sans" w:cs="Open Sans"/>
          <w:b/>
          <w:sz w:val="21"/>
          <w:szCs w:val="21"/>
        </w:rPr>
      </w:pPr>
      <w:r w:rsidRPr="003B14A9">
        <w:rPr>
          <w:rStyle w:val="Heading3Char"/>
        </w:rPr>
        <w:t>EMPHASIZES FIDELITY PRINCIPLE:</w:t>
      </w:r>
      <w:r w:rsidR="00DF77DB" w:rsidRPr="003B14A9">
        <w:rPr>
          <w:rStyle w:val="Heading3Char"/>
        </w:rPr>
        <w:t xml:space="preserve"> </w:t>
      </w:r>
      <w:r w:rsidR="005021A1" w:rsidRPr="007F473A">
        <w:rPr>
          <w:rFonts w:ascii="Open Sans" w:hAnsi="Open Sans" w:cs="Open Sans"/>
          <w:sz w:val="21"/>
          <w:szCs w:val="21"/>
          <w:vertAlign w:val="superscript"/>
        </w:rPr>
        <w:endnoteReference w:id="19"/>
      </w:r>
    </w:p>
    <w:p w14:paraId="5279411D" w14:textId="5DF640B5"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Clear learning objectives</w:t>
      </w:r>
      <w:r w:rsidR="00DF77DB">
        <w:rPr>
          <w:rFonts w:ascii="Open Sans" w:hAnsi="Open Sans" w:cs="Open Sans"/>
          <w:sz w:val="21"/>
          <w:szCs w:val="21"/>
        </w:rPr>
        <w:t xml:space="preserve"> </w:t>
      </w:r>
      <w:r w:rsidRPr="00DF77DB">
        <w:rPr>
          <w:rFonts w:cs="Times New Roman (Body CS)"/>
          <w:vertAlign w:val="superscript"/>
        </w:rPr>
        <w:endnoteReference w:id="20"/>
      </w:r>
    </w:p>
    <w:p w14:paraId="10C3C4BD" w14:textId="3C93353F"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Scripted sessions</w:t>
      </w:r>
      <w:r w:rsidR="00DF77DB">
        <w:rPr>
          <w:rFonts w:ascii="Open Sans" w:hAnsi="Open Sans" w:cs="Open Sans"/>
          <w:sz w:val="21"/>
          <w:szCs w:val="21"/>
        </w:rPr>
        <w:t xml:space="preserve"> </w:t>
      </w:r>
      <w:r w:rsidRPr="00DF77DB">
        <w:rPr>
          <w:rFonts w:cs="Times New Roman (Body CS)"/>
          <w:vertAlign w:val="superscript"/>
        </w:rPr>
        <w:endnoteReference w:id="21"/>
      </w:r>
      <w:r w:rsidRPr="00DF77DB">
        <w:rPr>
          <w:rFonts w:cs="Times New Roman (Body CS)"/>
          <w:vertAlign w:val="superscript"/>
        </w:rPr>
        <w:t xml:space="preserve"> </w:t>
      </w:r>
      <w:r w:rsidRPr="00DF77DB">
        <w:rPr>
          <w:rFonts w:cs="Times New Roman (Body CS)"/>
          <w:vertAlign w:val="superscript"/>
        </w:rPr>
        <w:endnoteReference w:id="22"/>
      </w:r>
    </w:p>
    <w:p w14:paraId="2F93FFFB" w14:textId="59892A67" w:rsidR="00AD7961" w:rsidRDefault="005021A1" w:rsidP="007332CB">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Availability of fidelity observation, coaching and tracking</w:t>
      </w:r>
    </w:p>
    <w:p w14:paraId="7E2CA7A7" w14:textId="77777777" w:rsidR="007332CB" w:rsidRPr="007332CB" w:rsidRDefault="007332CB" w:rsidP="007332CB">
      <w:pPr>
        <w:pStyle w:val="ListParagraph"/>
        <w:spacing w:after="100"/>
        <w:ind w:right="547"/>
        <w:jc w:val="both"/>
        <w:rPr>
          <w:rFonts w:ascii="Open Sans" w:hAnsi="Open Sans" w:cs="Open Sans"/>
          <w:sz w:val="21"/>
          <w:szCs w:val="21"/>
        </w:rPr>
      </w:pPr>
    </w:p>
    <w:p w14:paraId="33735572" w14:textId="04185C96" w:rsidR="00AD7961" w:rsidRPr="00AD7961" w:rsidRDefault="00AD7961" w:rsidP="00F702F5">
      <w:pPr>
        <w:spacing w:after="200"/>
        <w:ind w:left="270" w:right="547"/>
        <w:jc w:val="both"/>
        <w:rPr>
          <w:rFonts w:ascii="Open Sans" w:hAnsi="Open Sans" w:cs="Open Sans"/>
          <w:b/>
          <w:sz w:val="21"/>
          <w:szCs w:val="21"/>
        </w:rPr>
      </w:pPr>
      <w:r w:rsidRPr="003B14A9">
        <w:rPr>
          <w:rStyle w:val="Heading3Char"/>
        </w:rPr>
        <w:t>INCLUDES SUCCESS PLANNING TO ADDRESS RELAPSE PREVENTION:</w:t>
      </w:r>
      <w:r w:rsidR="003B14A9" w:rsidRPr="003B14A9">
        <w:rPr>
          <w:rStyle w:val="Heading3Char"/>
        </w:rPr>
        <w:t xml:space="preserve"> </w:t>
      </w:r>
      <w:r w:rsidR="005021A1" w:rsidRPr="007F473A">
        <w:rPr>
          <w:rFonts w:ascii="Open Sans" w:hAnsi="Open Sans" w:cs="Open Sans"/>
          <w:sz w:val="21"/>
          <w:szCs w:val="21"/>
          <w:vertAlign w:val="superscript"/>
        </w:rPr>
        <w:endnoteReference w:id="23"/>
      </w:r>
      <w:r w:rsidR="005021A1" w:rsidRPr="007F473A">
        <w:rPr>
          <w:rFonts w:ascii="Open Sans" w:hAnsi="Open Sans" w:cs="Open Sans"/>
          <w:sz w:val="21"/>
          <w:szCs w:val="21"/>
        </w:rPr>
        <w:t xml:space="preserve"> </w:t>
      </w:r>
      <w:r w:rsidR="005021A1" w:rsidRPr="007F473A">
        <w:rPr>
          <w:rFonts w:ascii="Open Sans" w:hAnsi="Open Sans" w:cs="Open Sans"/>
          <w:sz w:val="21"/>
          <w:szCs w:val="21"/>
          <w:vertAlign w:val="superscript"/>
        </w:rPr>
        <w:endnoteReference w:id="24"/>
      </w:r>
      <w:r w:rsidR="005021A1" w:rsidRPr="007F473A">
        <w:rPr>
          <w:rFonts w:ascii="Open Sans" w:hAnsi="Open Sans" w:cs="Open Sans"/>
          <w:b/>
          <w:sz w:val="21"/>
          <w:szCs w:val="21"/>
        </w:rPr>
        <w:t xml:space="preserve"> </w:t>
      </w:r>
    </w:p>
    <w:p w14:paraId="3B5A8678"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Identification of high risk people, places and things</w:t>
      </w:r>
    </w:p>
    <w:p w14:paraId="1AE5859C"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Clear and specific responses of the above to lower risk</w:t>
      </w:r>
    </w:p>
    <w:p w14:paraId="7243673E"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Behavioral rehearsal of those above identified situations and responses</w:t>
      </w:r>
    </w:p>
    <w:p w14:paraId="1EDCB0DC" w14:textId="4B1D42A9"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Problem solving skill development</w:t>
      </w:r>
      <w:r w:rsidR="00DF77DB">
        <w:rPr>
          <w:rFonts w:ascii="Open Sans" w:hAnsi="Open Sans" w:cs="Open Sans"/>
          <w:sz w:val="21"/>
          <w:szCs w:val="21"/>
        </w:rPr>
        <w:t xml:space="preserve"> </w:t>
      </w:r>
      <w:r w:rsidRPr="00DF77DB">
        <w:rPr>
          <w:rFonts w:ascii="Open Sans" w:hAnsi="Open Sans" w:cs="Open Sans"/>
          <w:sz w:val="21"/>
          <w:szCs w:val="21"/>
          <w:vertAlign w:val="superscript"/>
        </w:rPr>
        <w:endnoteReference w:id="25"/>
      </w:r>
    </w:p>
    <w:p w14:paraId="13799ACD"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Inclusion of a support network</w:t>
      </w:r>
    </w:p>
    <w:p w14:paraId="3B346AC3"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Specific plans for responding to lapses</w:t>
      </w:r>
    </w:p>
    <w:p w14:paraId="64F08ED5"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Development of alternative prosocial activities, supports and behaviors</w:t>
      </w:r>
    </w:p>
    <w:p w14:paraId="7BA472F8" w14:textId="77777777" w:rsidR="005021A1" w:rsidRPr="007F473A" w:rsidRDefault="005021A1" w:rsidP="00AD7961">
      <w:pPr>
        <w:spacing w:after="100"/>
        <w:ind w:left="540" w:right="547"/>
        <w:jc w:val="both"/>
        <w:rPr>
          <w:rFonts w:ascii="Open Sans" w:hAnsi="Open Sans" w:cs="Open Sans"/>
          <w:sz w:val="21"/>
          <w:szCs w:val="21"/>
        </w:rPr>
      </w:pPr>
    </w:p>
    <w:p w14:paraId="6EDB7C04" w14:textId="58937661" w:rsidR="005021A1" w:rsidRPr="007F473A" w:rsidRDefault="005021A1" w:rsidP="00F702F5">
      <w:pPr>
        <w:spacing w:after="100"/>
        <w:ind w:left="270" w:right="547"/>
        <w:jc w:val="both"/>
        <w:rPr>
          <w:rFonts w:ascii="Open Sans" w:hAnsi="Open Sans" w:cs="Open Sans"/>
          <w:i/>
          <w:sz w:val="21"/>
          <w:szCs w:val="21"/>
        </w:rPr>
      </w:pPr>
      <w:r w:rsidRPr="007F473A">
        <w:rPr>
          <w:rFonts w:ascii="Open Sans" w:hAnsi="Open Sans" w:cs="Open Sans"/>
          <w:i/>
          <w:sz w:val="21"/>
          <w:szCs w:val="21"/>
        </w:rPr>
        <w:t xml:space="preserve">In April of 2001, the International Community Corrections Association (ICCA) published an evidence informed checklist in the Journal of Community Corrections (JCC) to assist in the selections of effective curricula. The full article and checklist </w:t>
      </w:r>
      <w:proofErr w:type="gramStart"/>
      <w:r w:rsidRPr="007F473A">
        <w:rPr>
          <w:rFonts w:ascii="Open Sans" w:hAnsi="Open Sans" w:cs="Open Sans"/>
          <w:i/>
          <w:sz w:val="21"/>
          <w:szCs w:val="21"/>
        </w:rPr>
        <w:t>is</w:t>
      </w:r>
      <w:proofErr w:type="gramEnd"/>
      <w:r w:rsidRPr="007F473A">
        <w:rPr>
          <w:rFonts w:ascii="Open Sans" w:hAnsi="Open Sans" w:cs="Open Sans"/>
          <w:i/>
          <w:sz w:val="21"/>
          <w:szCs w:val="21"/>
        </w:rPr>
        <w:t xml:space="preserve"> available through membership to the ICCA or through a membership-holding library. </w:t>
      </w:r>
      <w:r w:rsidR="005B3396" w:rsidRPr="00274268">
        <w:rPr>
          <w:rFonts w:ascii="Open Sans" w:hAnsi="Open Sans" w:cs="Open Sans"/>
          <w:i/>
          <w:sz w:val="21"/>
          <w:szCs w:val="21"/>
        </w:rPr>
        <w:t xml:space="preserve">Of the 83 items on the checklist, the CBI-SO fulfills all but three recommendations: 1) program evaluation is not yet complete 2) by an external entity, and 3) regarding ethics, the curriculum advises that local or state ethical guidelines be used. </w:t>
      </w:r>
      <w:bookmarkStart w:id="0" w:name="_GoBack"/>
      <w:bookmarkEnd w:id="0"/>
    </w:p>
    <w:sectPr w:rsidR="005021A1" w:rsidRPr="007F473A" w:rsidSect="00F702F5">
      <w:headerReference w:type="default" r:id="rId11"/>
      <w:footerReference w:type="default" r:id="rId12"/>
      <w:headerReference w:type="first" r:id="rId13"/>
      <w:footerReference w:type="first" r:id="rId14"/>
      <w:pgSz w:w="12240" w:h="15840"/>
      <w:pgMar w:top="1440" w:right="446" w:bottom="1296" w:left="446" w:header="374"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9813" w14:textId="77777777" w:rsidR="008E653A" w:rsidRDefault="008E653A" w:rsidP="005A0AF5">
      <w:r>
        <w:separator/>
      </w:r>
    </w:p>
  </w:endnote>
  <w:endnote w:type="continuationSeparator" w:id="0">
    <w:p w14:paraId="7B096FED" w14:textId="77777777" w:rsidR="008E653A" w:rsidRDefault="008E653A" w:rsidP="005A0AF5">
      <w:r>
        <w:continuationSeparator/>
      </w:r>
    </w:p>
  </w:endnote>
  <w:endnote w:id="1">
    <w:p w14:paraId="0C50F3E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2">
    <w:p w14:paraId="18AA493A"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3">
    <w:p w14:paraId="57C7FB27"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&amp; Latessa </w:t>
      </w:r>
      <w:proofErr w:type="gramStart"/>
      <w:r w:rsidRPr="00D771AA">
        <w:rPr>
          <w:rFonts w:ascii="Open Sans" w:hAnsi="Open Sans" w:cs="Open Sans"/>
          <w:sz w:val="16"/>
          <w:szCs w:val="16"/>
        </w:rPr>
        <w:t>2004;  Lovins</w:t>
      </w:r>
      <w:proofErr w:type="gramEnd"/>
      <w:r w:rsidRPr="00D771AA">
        <w:rPr>
          <w:rFonts w:ascii="Open Sans" w:hAnsi="Open Sans" w:cs="Open Sans"/>
          <w:sz w:val="16"/>
          <w:szCs w:val="16"/>
        </w:rPr>
        <w:t xml:space="preserve">,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&amp; Latessa, 2009</w:t>
      </w:r>
    </w:p>
  </w:endnote>
  <w:endnote w:id="4">
    <w:p w14:paraId="2DFAF32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Andrews, D. A. 1995</w:t>
      </w:r>
    </w:p>
  </w:endnote>
  <w:endnote w:id="5">
    <w:p w14:paraId="0F4E7C1B"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P 1996</w:t>
      </w:r>
    </w:p>
  </w:endnote>
  <w:endnote w:id="6">
    <w:p w14:paraId="50FBCAF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xml:space="preserve">, French &amp; </w:t>
      </w:r>
      <w:proofErr w:type="spellStart"/>
      <w:r w:rsidRPr="00D771AA">
        <w:rPr>
          <w:rFonts w:ascii="Open Sans" w:hAnsi="Open Sans" w:cs="Open Sans"/>
          <w:sz w:val="16"/>
          <w:szCs w:val="16"/>
        </w:rPr>
        <w:t>Goinet</w:t>
      </w:r>
      <w:proofErr w:type="spellEnd"/>
      <w:r w:rsidRPr="00D771AA">
        <w:rPr>
          <w:rFonts w:ascii="Open Sans" w:hAnsi="Open Sans" w:cs="Open Sans"/>
          <w:sz w:val="16"/>
          <w:szCs w:val="16"/>
        </w:rPr>
        <w:t xml:space="preserve"> 2002</w:t>
      </w:r>
    </w:p>
  </w:endnote>
  <w:endnote w:id="7">
    <w:p w14:paraId="66A701B5"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MacKenzie</w:t>
      </w:r>
      <w:proofErr w:type="spellEnd"/>
      <w:r w:rsidRPr="00D771AA">
        <w:rPr>
          <w:rFonts w:ascii="Open Sans" w:hAnsi="Open Sans" w:cs="Open Sans"/>
          <w:sz w:val="16"/>
          <w:szCs w:val="16"/>
        </w:rPr>
        <w:t>, D.L. 2000</w:t>
      </w:r>
    </w:p>
  </w:endnote>
  <w:endnote w:id="8">
    <w:p w14:paraId="2FF966A1"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Andrews, Zinger, Hoge, </w:t>
      </w:r>
      <w:proofErr w:type="spellStart"/>
      <w:r w:rsidRPr="00D771AA">
        <w:rPr>
          <w:rFonts w:ascii="Open Sans" w:hAnsi="Open Sans" w:cs="Open Sans"/>
          <w:sz w:val="16"/>
          <w:szCs w:val="16"/>
        </w:rPr>
        <w:t>Bonta</w:t>
      </w:r>
      <w:proofErr w:type="spellEnd"/>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xml:space="preserve"> &amp; Cullen 1990</w:t>
      </w:r>
    </w:p>
  </w:endnote>
  <w:endnote w:id="9">
    <w:p w14:paraId="0DE2FB38"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Lipsey, Chapman &amp; </w:t>
      </w:r>
      <w:proofErr w:type="spellStart"/>
      <w:r w:rsidRPr="00D771AA">
        <w:rPr>
          <w:rFonts w:ascii="Open Sans" w:hAnsi="Open Sans" w:cs="Open Sans"/>
          <w:sz w:val="16"/>
          <w:szCs w:val="16"/>
        </w:rPr>
        <w:t>Landenberger</w:t>
      </w:r>
      <w:proofErr w:type="spellEnd"/>
      <w:r w:rsidRPr="00D771AA">
        <w:rPr>
          <w:rFonts w:ascii="Open Sans" w:hAnsi="Open Sans" w:cs="Open Sans"/>
          <w:sz w:val="16"/>
          <w:szCs w:val="16"/>
        </w:rPr>
        <w:t xml:space="preserve"> 2001</w:t>
      </w:r>
    </w:p>
  </w:endnote>
  <w:endnote w:id="10">
    <w:p w14:paraId="57CC46D2"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Person, Lipton, Cleland &amp; Yee 2002</w:t>
      </w:r>
    </w:p>
  </w:endnote>
  <w:endnote w:id="11">
    <w:p w14:paraId="52C5B7F6"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Smith &amp; French 2006</w:t>
      </w:r>
    </w:p>
  </w:endnote>
  <w:endnote w:id="12">
    <w:p w14:paraId="062F31C3"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Landenberger</w:t>
      </w:r>
      <w:proofErr w:type="spellEnd"/>
      <w:r w:rsidRPr="00D771AA">
        <w:rPr>
          <w:rFonts w:ascii="Open Sans" w:hAnsi="Open Sans" w:cs="Open Sans"/>
          <w:sz w:val="16"/>
          <w:szCs w:val="16"/>
        </w:rPr>
        <w:t xml:space="preserve"> &amp; Lipsey 2005</w:t>
      </w:r>
    </w:p>
  </w:endnote>
  <w:endnote w:id="13">
    <w:p w14:paraId="5B94ADB3"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Antonowicz</w:t>
      </w:r>
      <w:proofErr w:type="spellEnd"/>
      <w:r w:rsidRPr="00D771AA">
        <w:rPr>
          <w:rFonts w:ascii="Open Sans" w:hAnsi="Open Sans" w:cs="Open Sans"/>
          <w:sz w:val="16"/>
          <w:szCs w:val="16"/>
        </w:rPr>
        <w:t xml:space="preserve"> &amp; Ross 1994</w:t>
      </w:r>
    </w:p>
  </w:endnote>
  <w:endnote w:id="14">
    <w:p w14:paraId="71D89E2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Sperber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2017</w:t>
      </w:r>
    </w:p>
  </w:endnote>
  <w:endnote w:id="15">
    <w:p w14:paraId="1E37BD6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&amp; Andrews 2000</w:t>
      </w:r>
    </w:p>
  </w:endnote>
  <w:endnote w:id="16">
    <w:p w14:paraId="5565E760"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Antonowicz</w:t>
      </w:r>
      <w:proofErr w:type="spellEnd"/>
      <w:r w:rsidRPr="00D771AA">
        <w:rPr>
          <w:rFonts w:ascii="Open Sans" w:hAnsi="Open Sans" w:cs="Open Sans"/>
          <w:sz w:val="16"/>
          <w:szCs w:val="16"/>
        </w:rPr>
        <w:t xml:space="preserve"> &amp; Ross 1994</w:t>
      </w:r>
    </w:p>
  </w:endnote>
  <w:endnote w:id="17">
    <w:p w14:paraId="416A3354"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&amp; Andrews 2000</w:t>
      </w:r>
    </w:p>
  </w:endnote>
  <w:endnote w:id="18">
    <w:p w14:paraId="223FF51C"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McMurran</w:t>
      </w:r>
      <w:proofErr w:type="spellEnd"/>
      <w:r w:rsidRPr="00D771AA">
        <w:rPr>
          <w:rFonts w:ascii="Open Sans" w:hAnsi="Open Sans" w:cs="Open Sans"/>
          <w:sz w:val="16"/>
          <w:szCs w:val="16"/>
        </w:rPr>
        <w:t xml:space="preserve"> M. 2011</w:t>
      </w:r>
    </w:p>
  </w:endnote>
  <w:endnote w:id="19">
    <w:p w14:paraId="5B6A92E7"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20">
    <w:p w14:paraId="22928A60" w14:textId="63E2FA1B"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r w:rsidR="00D45B38" w:rsidRPr="00D771AA">
        <w:rPr>
          <w:rFonts w:ascii="Open Sans" w:hAnsi="Open Sans" w:cs="Open Sans"/>
          <w:sz w:val="16"/>
          <w:szCs w:val="16"/>
        </w:rPr>
        <w:t>International Community Corrections Association 2001</w:t>
      </w:r>
    </w:p>
  </w:endnote>
  <w:endnote w:id="21">
    <w:p w14:paraId="6AD35246"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Mann 2009</w:t>
      </w:r>
    </w:p>
  </w:endnote>
  <w:endnote w:id="22">
    <w:p w14:paraId="4808399F"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Taxman, F. S. 2000</w:t>
      </w:r>
    </w:p>
  </w:endnote>
  <w:endnote w:id="23">
    <w:p w14:paraId="7E975BB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proofErr w:type="gramStart"/>
      <w:r w:rsidRPr="00D771AA">
        <w:rPr>
          <w:rFonts w:ascii="Open Sans" w:hAnsi="Open Sans" w:cs="Open Sans"/>
          <w:sz w:val="16"/>
          <w:szCs w:val="16"/>
        </w:rPr>
        <w:t>Laws,D.R</w:t>
      </w:r>
      <w:proofErr w:type="spellEnd"/>
      <w:r w:rsidRPr="00D771AA">
        <w:rPr>
          <w:rFonts w:ascii="Open Sans" w:hAnsi="Open Sans" w:cs="Open Sans"/>
          <w:sz w:val="16"/>
          <w:szCs w:val="16"/>
        </w:rPr>
        <w:t>.</w:t>
      </w:r>
      <w:proofErr w:type="gramEnd"/>
      <w:r w:rsidRPr="00D771AA">
        <w:rPr>
          <w:rFonts w:ascii="Open Sans" w:hAnsi="Open Sans" w:cs="Open Sans"/>
          <w:sz w:val="16"/>
          <w:szCs w:val="16"/>
        </w:rPr>
        <w:t xml:space="preserve"> 1999</w:t>
      </w:r>
    </w:p>
  </w:endnote>
  <w:endnote w:id="24">
    <w:p w14:paraId="0FA60B85"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w:t>
      </w:r>
      <w:proofErr w:type="spellStart"/>
      <w:r w:rsidRPr="00D771AA">
        <w:rPr>
          <w:rFonts w:ascii="Open Sans" w:hAnsi="Open Sans" w:cs="Open Sans"/>
          <w:sz w:val="16"/>
          <w:szCs w:val="16"/>
        </w:rPr>
        <w:t>Antonowicz</w:t>
      </w:r>
      <w:proofErr w:type="spellEnd"/>
      <w:r w:rsidRPr="00D771AA">
        <w:rPr>
          <w:rFonts w:ascii="Open Sans" w:hAnsi="Open Sans" w:cs="Open Sans"/>
          <w:sz w:val="16"/>
          <w:szCs w:val="16"/>
        </w:rPr>
        <w:t xml:space="preserve"> &amp; Andrews 2003</w:t>
      </w:r>
    </w:p>
  </w:endnote>
  <w:endnote w:id="25">
    <w:p w14:paraId="70149BFE" w14:textId="77777777" w:rsidR="005021A1" w:rsidRPr="009B7A94" w:rsidRDefault="005021A1" w:rsidP="005021A1">
      <w:pPr>
        <w:pStyle w:val="EndnoteText"/>
        <w:rPr>
          <w:rFonts w:cs="Times New Roman"/>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Smith &amp; French 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706" w14:textId="7F5C2A68" w:rsidR="001F5424" w:rsidRDefault="001F5424" w:rsidP="00ED5A9D">
    <w:pPr>
      <w:pStyle w:val="Footer"/>
      <w:tabs>
        <w:tab w:val="clear" w:pos="9360"/>
        <w:tab w:val="right" w:pos="9090"/>
      </w:tabs>
      <w:ind w:right="5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7800" w14:textId="0DD3D6B7" w:rsidR="00F702F5" w:rsidRPr="00F702F5" w:rsidRDefault="00F702F5" w:rsidP="00F702F5">
    <w:pPr>
      <w:pStyle w:val="Footer"/>
      <w:jc w:val="right"/>
    </w:pPr>
    <w:r>
      <w:rPr>
        <w:noProof/>
      </w:rPr>
      <w:drawing>
        <wp:inline distT="0" distB="0" distL="0" distR="0" wp14:anchorId="12E0D292" wp14:editId="55FAE555">
          <wp:extent cx="1100801" cy="579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Logo.jpg"/>
                  <pic:cNvPicPr/>
                </pic:nvPicPr>
                <pic:blipFill>
                  <a:blip r:embed="rId1">
                    <a:extLst>
                      <a:ext uri="{28A0092B-C50C-407E-A947-70E740481C1C}">
                        <a14:useLocalDpi xmlns:a14="http://schemas.microsoft.com/office/drawing/2010/main" val="0"/>
                      </a:ext>
                    </a:extLst>
                  </a:blip>
                  <a:stretch>
                    <a:fillRect/>
                  </a:stretch>
                </pic:blipFill>
                <pic:spPr>
                  <a:xfrm>
                    <a:off x="0" y="0"/>
                    <a:ext cx="1107911" cy="583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74C0" w14:textId="77777777" w:rsidR="008E653A" w:rsidRDefault="008E653A" w:rsidP="005A0AF5">
      <w:r>
        <w:separator/>
      </w:r>
    </w:p>
  </w:footnote>
  <w:footnote w:type="continuationSeparator" w:id="0">
    <w:p w14:paraId="6BE92525" w14:textId="77777777" w:rsidR="008E653A" w:rsidRDefault="008E653A" w:rsidP="005A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2F4F" w14:textId="2DF3ED3B" w:rsidR="005A0AF5" w:rsidRDefault="005A0AF5" w:rsidP="00D22DF8">
    <w:pPr>
      <w:pStyle w:val="Header"/>
      <w:jc w:val="center"/>
    </w:pPr>
  </w:p>
  <w:p w14:paraId="031EE6E9" w14:textId="3C36C225" w:rsidR="005A0AF5" w:rsidRDefault="005A0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9FA9" w14:textId="07D86E96" w:rsidR="00F702F5" w:rsidRDefault="00F702F5" w:rsidP="00F702F5">
    <w:pPr>
      <w:pStyle w:val="Header"/>
      <w:jc w:val="center"/>
    </w:pPr>
    <w:r>
      <w:rPr>
        <w:noProof/>
      </w:rPr>
      <w:drawing>
        <wp:inline distT="0" distB="0" distL="0" distR="0" wp14:anchorId="15171D14" wp14:editId="48025635">
          <wp:extent cx="6866890" cy="1557655"/>
          <wp:effectExtent l="0" t="0" r="3810" b="4445"/>
          <wp:docPr id="10" name="Picture 10" title="UCCI CB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II.png"/>
                  <pic:cNvPicPr/>
                </pic:nvPicPr>
                <pic:blipFill rotWithShape="1">
                  <a:blip r:embed="rId1" cstate="print">
                    <a:extLst>
                      <a:ext uri="{28A0092B-C50C-407E-A947-70E740481C1C}">
                        <a14:useLocalDpi xmlns:a14="http://schemas.microsoft.com/office/drawing/2010/main" val="0"/>
                      </a:ext>
                    </a:extLst>
                  </a:blip>
                  <a:srcRect t="13696" r="27690" b="43504"/>
                  <a:stretch/>
                </pic:blipFill>
                <pic:spPr bwMode="auto">
                  <a:xfrm>
                    <a:off x="0" y="0"/>
                    <a:ext cx="6866890" cy="15576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F13"/>
    <w:multiLevelType w:val="multilevel"/>
    <w:tmpl w:val="36FA626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8E1E73"/>
    <w:multiLevelType w:val="multilevel"/>
    <w:tmpl w:val="3B94149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97248"/>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ED1502"/>
    <w:multiLevelType w:val="hybridMultilevel"/>
    <w:tmpl w:val="587CF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F801F12"/>
    <w:multiLevelType w:val="hybridMultilevel"/>
    <w:tmpl w:val="691606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88F20AB"/>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1D250A"/>
    <w:multiLevelType w:val="multilevel"/>
    <w:tmpl w:val="739CA84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D94C2F"/>
    <w:multiLevelType w:val="hybridMultilevel"/>
    <w:tmpl w:val="95625F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F5"/>
    <w:rsid w:val="00035DF9"/>
    <w:rsid w:val="00080CE0"/>
    <w:rsid w:val="000A7696"/>
    <w:rsid w:val="001463EB"/>
    <w:rsid w:val="0016371B"/>
    <w:rsid w:val="001878C5"/>
    <w:rsid w:val="001F5424"/>
    <w:rsid w:val="00251E87"/>
    <w:rsid w:val="00252BA2"/>
    <w:rsid w:val="00263AC6"/>
    <w:rsid w:val="00281D55"/>
    <w:rsid w:val="002A14BB"/>
    <w:rsid w:val="003B14A9"/>
    <w:rsid w:val="004817BC"/>
    <w:rsid w:val="0049314B"/>
    <w:rsid w:val="004D394F"/>
    <w:rsid w:val="004D76A9"/>
    <w:rsid w:val="004F1AFB"/>
    <w:rsid w:val="005021A1"/>
    <w:rsid w:val="005A0AF5"/>
    <w:rsid w:val="005B3396"/>
    <w:rsid w:val="005F2561"/>
    <w:rsid w:val="006C35CB"/>
    <w:rsid w:val="006C50A0"/>
    <w:rsid w:val="00700D21"/>
    <w:rsid w:val="00705599"/>
    <w:rsid w:val="00713422"/>
    <w:rsid w:val="007332CB"/>
    <w:rsid w:val="007B028E"/>
    <w:rsid w:val="007F473A"/>
    <w:rsid w:val="008142B1"/>
    <w:rsid w:val="00847932"/>
    <w:rsid w:val="0089709C"/>
    <w:rsid w:val="008E653A"/>
    <w:rsid w:val="008F77C4"/>
    <w:rsid w:val="00936BCD"/>
    <w:rsid w:val="00937BE7"/>
    <w:rsid w:val="009956B8"/>
    <w:rsid w:val="00AD7961"/>
    <w:rsid w:val="00B70181"/>
    <w:rsid w:val="00B84723"/>
    <w:rsid w:val="00BA0D07"/>
    <w:rsid w:val="00C5237A"/>
    <w:rsid w:val="00CC6D53"/>
    <w:rsid w:val="00D218C9"/>
    <w:rsid w:val="00D22DF8"/>
    <w:rsid w:val="00D45B38"/>
    <w:rsid w:val="00D649B0"/>
    <w:rsid w:val="00D65235"/>
    <w:rsid w:val="00D7010D"/>
    <w:rsid w:val="00D771AA"/>
    <w:rsid w:val="00DB124D"/>
    <w:rsid w:val="00DF77DB"/>
    <w:rsid w:val="00E0447D"/>
    <w:rsid w:val="00E06F17"/>
    <w:rsid w:val="00E12E73"/>
    <w:rsid w:val="00E16704"/>
    <w:rsid w:val="00E74FF1"/>
    <w:rsid w:val="00ED0D21"/>
    <w:rsid w:val="00ED5A9D"/>
    <w:rsid w:val="00F04715"/>
    <w:rsid w:val="00F702F5"/>
    <w:rsid w:val="00F761BF"/>
    <w:rsid w:val="00F96D06"/>
    <w:rsid w:val="00FA4621"/>
    <w:rsid w:val="00FC6DDB"/>
    <w:rsid w:val="00FC761F"/>
    <w:rsid w:val="00FE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652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1"/>
  </w:style>
  <w:style w:type="paragraph" w:styleId="Heading1">
    <w:name w:val="heading 1"/>
    <w:basedOn w:val="Normal"/>
    <w:next w:val="Normal"/>
    <w:link w:val="Heading1Char"/>
    <w:uiPriority w:val="9"/>
    <w:qFormat/>
    <w:rsid w:val="003B14A9"/>
    <w:pPr>
      <w:spacing w:after="200"/>
      <w:ind w:left="270" w:right="547"/>
      <w:jc w:val="both"/>
      <w:outlineLvl w:val="0"/>
    </w:pPr>
    <w:rPr>
      <w:rFonts w:ascii="Century Gothic" w:hAnsi="Century Gothic" w:cs="Open Sans"/>
      <w:color w:val="A23F97"/>
      <w:sz w:val="56"/>
      <w:szCs w:val="56"/>
    </w:rPr>
  </w:style>
  <w:style w:type="paragraph" w:styleId="Heading2">
    <w:name w:val="heading 2"/>
    <w:basedOn w:val="Normal"/>
    <w:next w:val="Normal"/>
    <w:link w:val="Heading2Char"/>
    <w:uiPriority w:val="9"/>
    <w:unhideWhenUsed/>
    <w:qFormat/>
    <w:rsid w:val="003B14A9"/>
    <w:pPr>
      <w:spacing w:after="200"/>
      <w:ind w:left="270" w:right="547"/>
      <w:jc w:val="both"/>
      <w:outlineLvl w:val="1"/>
    </w:pPr>
    <w:rPr>
      <w:rFonts w:ascii="Century Gothic" w:hAnsi="Century Gothic" w:cs="Open Sans"/>
      <w:color w:val="000000" w:themeColor="text1"/>
      <w:sz w:val="40"/>
      <w:szCs w:val="40"/>
    </w:rPr>
  </w:style>
  <w:style w:type="paragraph" w:styleId="Heading3">
    <w:name w:val="heading 3"/>
    <w:basedOn w:val="Normal"/>
    <w:next w:val="Normal"/>
    <w:link w:val="Heading3Char"/>
    <w:uiPriority w:val="9"/>
    <w:unhideWhenUsed/>
    <w:qFormat/>
    <w:rsid w:val="003B14A9"/>
    <w:pPr>
      <w:spacing w:after="200"/>
      <w:ind w:left="270" w:right="547"/>
      <w:jc w:val="both"/>
      <w:outlineLvl w:val="2"/>
    </w:pPr>
    <w:rPr>
      <w:rFonts w:ascii="Century Gothic" w:hAnsi="Century Gothic" w:cs="Open Sans"/>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AF5"/>
    <w:pPr>
      <w:tabs>
        <w:tab w:val="center" w:pos="4680"/>
        <w:tab w:val="right" w:pos="9360"/>
      </w:tabs>
    </w:pPr>
  </w:style>
  <w:style w:type="character" w:customStyle="1" w:styleId="HeaderChar">
    <w:name w:val="Header Char"/>
    <w:basedOn w:val="DefaultParagraphFont"/>
    <w:link w:val="Header"/>
    <w:uiPriority w:val="99"/>
    <w:rsid w:val="005A0AF5"/>
  </w:style>
  <w:style w:type="paragraph" w:styleId="Footer">
    <w:name w:val="footer"/>
    <w:basedOn w:val="Normal"/>
    <w:link w:val="FooterChar"/>
    <w:uiPriority w:val="99"/>
    <w:unhideWhenUsed/>
    <w:rsid w:val="005A0AF5"/>
    <w:pPr>
      <w:tabs>
        <w:tab w:val="center" w:pos="4680"/>
        <w:tab w:val="right" w:pos="9360"/>
      </w:tabs>
    </w:pPr>
  </w:style>
  <w:style w:type="character" w:customStyle="1" w:styleId="FooterChar">
    <w:name w:val="Footer Char"/>
    <w:basedOn w:val="DefaultParagraphFont"/>
    <w:link w:val="Footer"/>
    <w:uiPriority w:val="99"/>
    <w:rsid w:val="005A0AF5"/>
  </w:style>
  <w:style w:type="character" w:styleId="Hyperlink">
    <w:name w:val="Hyperlink"/>
    <w:rsid w:val="00BA0D07"/>
    <w:rPr>
      <w:color w:val="0000FF"/>
      <w:u w:val="single"/>
    </w:rPr>
  </w:style>
  <w:style w:type="paragraph" w:styleId="ListParagraph">
    <w:name w:val="List Paragraph"/>
    <w:basedOn w:val="Normal"/>
    <w:uiPriority w:val="34"/>
    <w:qFormat/>
    <w:rsid w:val="005021A1"/>
    <w:pPr>
      <w:ind w:left="720"/>
      <w:contextualSpacing/>
    </w:pPr>
  </w:style>
  <w:style w:type="paragraph" w:styleId="EndnoteText">
    <w:name w:val="endnote text"/>
    <w:basedOn w:val="Normal"/>
    <w:link w:val="EndnoteTextChar"/>
    <w:uiPriority w:val="99"/>
    <w:semiHidden/>
    <w:unhideWhenUsed/>
    <w:rsid w:val="005021A1"/>
    <w:rPr>
      <w:sz w:val="20"/>
      <w:szCs w:val="20"/>
    </w:rPr>
  </w:style>
  <w:style w:type="character" w:customStyle="1" w:styleId="EndnoteTextChar">
    <w:name w:val="Endnote Text Char"/>
    <w:basedOn w:val="DefaultParagraphFont"/>
    <w:link w:val="EndnoteText"/>
    <w:uiPriority w:val="99"/>
    <w:semiHidden/>
    <w:rsid w:val="005021A1"/>
    <w:rPr>
      <w:sz w:val="20"/>
      <w:szCs w:val="20"/>
    </w:rPr>
  </w:style>
  <w:style w:type="character" w:styleId="EndnoteReference">
    <w:name w:val="endnote reference"/>
    <w:basedOn w:val="DefaultParagraphFont"/>
    <w:uiPriority w:val="99"/>
    <w:semiHidden/>
    <w:unhideWhenUsed/>
    <w:rsid w:val="005021A1"/>
    <w:rPr>
      <w:vertAlign w:val="superscript"/>
    </w:rPr>
  </w:style>
  <w:style w:type="paragraph" w:styleId="BalloonText">
    <w:name w:val="Balloon Text"/>
    <w:basedOn w:val="Normal"/>
    <w:link w:val="BalloonTextChar"/>
    <w:uiPriority w:val="99"/>
    <w:semiHidden/>
    <w:unhideWhenUsed/>
    <w:rsid w:val="00D45B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B38"/>
    <w:rPr>
      <w:rFonts w:ascii="Times New Roman" w:hAnsi="Times New Roman" w:cs="Times New Roman"/>
      <w:sz w:val="18"/>
      <w:szCs w:val="18"/>
    </w:rPr>
  </w:style>
  <w:style w:type="character" w:customStyle="1" w:styleId="Heading1Char">
    <w:name w:val="Heading 1 Char"/>
    <w:basedOn w:val="DefaultParagraphFont"/>
    <w:link w:val="Heading1"/>
    <w:uiPriority w:val="9"/>
    <w:rsid w:val="003B14A9"/>
    <w:rPr>
      <w:rFonts w:ascii="Century Gothic" w:hAnsi="Century Gothic" w:cs="Open Sans"/>
      <w:color w:val="A23F97"/>
      <w:sz w:val="56"/>
      <w:szCs w:val="56"/>
    </w:rPr>
  </w:style>
  <w:style w:type="character" w:customStyle="1" w:styleId="Heading2Char">
    <w:name w:val="Heading 2 Char"/>
    <w:basedOn w:val="DefaultParagraphFont"/>
    <w:link w:val="Heading2"/>
    <w:uiPriority w:val="9"/>
    <w:rsid w:val="003B14A9"/>
    <w:rPr>
      <w:rFonts w:ascii="Century Gothic" w:hAnsi="Century Gothic" w:cs="Open Sans"/>
      <w:color w:val="000000" w:themeColor="text1"/>
      <w:sz w:val="40"/>
      <w:szCs w:val="40"/>
    </w:rPr>
  </w:style>
  <w:style w:type="character" w:customStyle="1" w:styleId="Heading3Char">
    <w:name w:val="Heading 3 Char"/>
    <w:basedOn w:val="DefaultParagraphFont"/>
    <w:link w:val="Heading3"/>
    <w:uiPriority w:val="9"/>
    <w:rsid w:val="003B14A9"/>
    <w:rPr>
      <w:rFonts w:ascii="Century Gothic" w:hAnsi="Century Gothic" w:cs="Open Sans"/>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F9C074F6A7441AE1DB07684C2CFB6" ma:contentTypeVersion="21" ma:contentTypeDescription="Create a new document." ma:contentTypeScope="" ma:versionID="d85e1c8390b6038a64c68881f7e97085">
  <xsd:schema xmlns:xsd="http://www.w3.org/2001/XMLSchema" xmlns:xs="http://www.w3.org/2001/XMLSchema" xmlns:p="http://schemas.microsoft.com/office/2006/metadata/properties" xmlns:ns3="c4559b14-b869-4ecf-82df-3a9ad907661b" xmlns:ns4="c9991e1c-1590-4794-9fe6-241c02a24824" targetNamespace="http://schemas.microsoft.com/office/2006/metadata/properties" ma:root="true" ma:fieldsID="09f29310156a559f32cd819173959079" ns3:_="" ns4:_="">
    <xsd:import namespace="c4559b14-b869-4ecf-82df-3a9ad907661b"/>
    <xsd:import namespace="c9991e1c-1590-4794-9fe6-241c02a2482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9b14-b869-4ecf-82df-3a9ad90766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e1c-1590-4794-9fe6-241c02a24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4559b14-b869-4ecf-82df-3a9ad907661b" xsi:nil="true"/>
    <_activity xmlns="c4559b14-b869-4ecf-82df-3a9ad907661b" xsi:nil="true"/>
    <MigrationWizIdDocumentLibraryPermissions xmlns="c4559b14-b869-4ecf-82df-3a9ad907661b" xsi:nil="true"/>
    <MigrationWizId xmlns="c4559b14-b869-4ecf-82df-3a9ad907661b" xsi:nil="true"/>
    <MigrationWizIdSecurityGroups xmlns="c4559b14-b869-4ecf-82df-3a9ad907661b" xsi:nil="true"/>
    <MigrationWizIdPermissions xmlns="c4559b14-b869-4ecf-82df-3a9ad9076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028B2D-1F61-486B-B1C3-DC34DDD99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59b14-b869-4ecf-82df-3a9ad907661b"/>
    <ds:schemaRef ds:uri="c9991e1c-1590-4794-9fe6-241c02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0C53A-8B3F-407C-B6E6-1D50F8740C03}">
  <ds:schemaRefs>
    <ds:schemaRef ds:uri="http://schemas.microsoft.com/sharepoint/v3/contenttype/forms"/>
  </ds:schemaRefs>
</ds:datastoreItem>
</file>

<file path=customXml/itemProps3.xml><?xml version="1.0" encoding="utf-8"?>
<ds:datastoreItem xmlns:ds="http://schemas.openxmlformats.org/officeDocument/2006/customXml" ds:itemID="{814D63F0-4D2E-408D-A0EF-EBB0DDC22E8C}">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c4559b14-b869-4ecf-82df-3a9ad907661b"/>
    <ds:schemaRef ds:uri="http://schemas.microsoft.com/office/infopath/2007/PartnerControls"/>
    <ds:schemaRef ds:uri="http://schemas.openxmlformats.org/package/2006/metadata/core-properties"/>
    <ds:schemaRef ds:uri="c9991e1c-1590-4794-9fe6-241c02a24824"/>
  </ds:schemaRefs>
</ds:datastoreItem>
</file>

<file path=customXml/itemProps4.xml><?xml version="1.0" encoding="utf-8"?>
<ds:datastoreItem xmlns:ds="http://schemas.openxmlformats.org/officeDocument/2006/customXml" ds:itemID="{17261811-3EFA-45B2-84A4-EB07990F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2860</Characters>
  <Application>Microsoft Office Word</Application>
  <DocSecurity>0</DocSecurity>
  <Lines>51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Jennifer (scott3jm)</cp:lastModifiedBy>
  <cp:revision>2</cp:revision>
  <cp:lastPrinted>2021-06-11T13:41:00Z</cp:lastPrinted>
  <dcterms:created xsi:type="dcterms:W3CDTF">2023-08-08T17:41:00Z</dcterms:created>
  <dcterms:modified xsi:type="dcterms:W3CDTF">2023-08-08T17:41:00Z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0x010100E13F9C074F6A7441AE1DB07684C2CFB6</vt:lpwstr>
  </property>
</Properties>
</file>